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2657" w:rsidRDefault="004E60EC" w:rsidP="004A2FB9">
      <w:pPr>
        <w:pStyle w:val="NormalWeb"/>
        <w:shd w:val="clear" w:color="auto" w:fill="FFFFFF"/>
        <w:rPr>
          <w:rFonts w:ascii="Open Sans" w:hAnsi="Open Sans" w:cs="Open Sans"/>
          <w:b/>
          <w:bCs/>
          <w:color w:val="212121"/>
          <w:spacing w:val="2"/>
        </w:rPr>
      </w:pPr>
      <w:r w:rsidRPr="004E60EC">
        <w:rPr>
          <w:rFonts w:ascii="Open Sans" w:hAnsi="Open Sans" w:cs="Open Sans"/>
          <w:b/>
          <w:bCs/>
          <w:color w:val="212121"/>
          <w:spacing w:val="2"/>
        </w:rPr>
        <w:t>Topic 9 DQ</w:t>
      </w:r>
      <w:r>
        <w:rPr>
          <w:rFonts w:ascii="Open Sans" w:hAnsi="Open Sans" w:cs="Open Sans"/>
          <w:b/>
          <w:bCs/>
          <w:color w:val="212121"/>
          <w:spacing w:val="2"/>
        </w:rPr>
        <w:t xml:space="preserve"> 2</w:t>
      </w:r>
      <w:r w:rsidR="004A2FB9">
        <w:rPr>
          <w:rFonts w:ascii="Open Sans" w:hAnsi="Open Sans" w:cs="Open Sans"/>
          <w:b/>
          <w:bCs/>
          <w:color w:val="212121"/>
          <w:spacing w:val="2"/>
        </w:rPr>
        <w:t xml:space="preserve"> Responses</w:t>
      </w:r>
    </w:p>
    <w:p w:rsidR="004A2FB9" w:rsidRDefault="00390E77" w:rsidP="004A2FB9">
      <w:pPr>
        <w:pStyle w:val="NormalWeb"/>
        <w:shd w:val="clear" w:color="auto" w:fill="FFFFFF"/>
        <w:rPr>
          <w:rFonts w:ascii="Open Sans" w:hAnsi="Open Sans" w:cs="Open Sans"/>
          <w:b/>
          <w:bCs/>
          <w:color w:val="212121"/>
          <w:spacing w:val="2"/>
        </w:rPr>
      </w:pPr>
      <w:r>
        <w:rPr>
          <w:rFonts w:ascii="Open Sans" w:hAnsi="Open Sans" w:cs="Open Sans"/>
          <w:b/>
          <w:bCs/>
          <w:color w:val="212121"/>
          <w:spacing w:val="2"/>
        </w:rPr>
        <w:t>Andrea</w:t>
      </w:r>
      <w:r w:rsidR="004A2FB9">
        <w:rPr>
          <w:rFonts w:ascii="Open Sans" w:hAnsi="Open Sans" w:cs="Open Sans"/>
          <w:b/>
          <w:bCs/>
          <w:color w:val="212121"/>
          <w:spacing w:val="2"/>
        </w:rPr>
        <w:t>’s Discussion</w:t>
      </w:r>
    </w:p>
    <w:p w:rsidR="00390E77" w:rsidRDefault="00390E77" w:rsidP="00390E77">
      <w:pPr>
        <w:pStyle w:val="NormalWeb"/>
        <w:shd w:val="clear" w:color="auto" w:fill="FFFFFF"/>
        <w:spacing w:before="0" w:beforeAutospacing="0" w:after="0" w:afterAutospacing="0" w:line="276" w:lineRule="auto"/>
        <w:rPr>
          <w:rFonts w:ascii="Aptos" w:hAnsi="Aptos"/>
          <w:color w:val="212121"/>
          <w:spacing w:val="2"/>
        </w:rPr>
      </w:pPr>
      <w:r>
        <w:rPr>
          <w:color w:val="212121"/>
          <w:spacing w:val="2"/>
          <w:bdr w:val="none" w:sz="0" w:space="0" w:color="auto" w:frame="1"/>
        </w:rPr>
        <w:t>Sustaining the change is important to consider after implementing a proposal. Awareness of potential barriers allows the creation of strategies to overcome them. The focus of my capstone project is educating family caregivers about the signs of nonverbal pain. One potential barrier is that nurses may become less adherent to providing the new education. After some time, they may revert to providing outdated information. As nurses gain years of experience, they accumulate extensive clinical practice that gradually enhances their judgment and management capabilities across a range of diseases (Liu et al., 2026). When a nurse has experience, they can rely on past knowledge rather than on the proposed implementation. This can affect adherence to the education plan and the education provided to caregivers. To overcome this barrier, meetings can be held to assess adherence to the education plan. If it’s determined that the nurse lacks adherence, they can be reeducated on its importance. By doing this, it ensures the updated information is used and reinforced.</w:t>
      </w:r>
    </w:p>
    <w:p w:rsidR="00390E77" w:rsidRDefault="00390E77" w:rsidP="00390E77">
      <w:pPr>
        <w:pStyle w:val="NormalWeb"/>
        <w:shd w:val="clear" w:color="auto" w:fill="FFFFFF"/>
        <w:spacing w:before="0" w:beforeAutospacing="0" w:after="0" w:afterAutospacing="0" w:line="276" w:lineRule="auto"/>
        <w:rPr>
          <w:rFonts w:ascii="Aptos" w:hAnsi="Aptos"/>
          <w:color w:val="212121"/>
          <w:spacing w:val="2"/>
        </w:rPr>
      </w:pPr>
      <w:r>
        <w:rPr>
          <w:color w:val="212121"/>
          <w:spacing w:val="2"/>
          <w:bdr w:val="none" w:sz="0" w:space="0" w:color="auto" w:frame="1"/>
        </w:rPr>
        <w:t>A second potential barrier is family caregivers' reluctance to change. This can occur because caregivers have low health literacy and are afraid of the change. Without a willingness to change and be open-minded, it can be difficult to educate them on signs of nonverbal pain. Limited health literacy may hinder an informal caregiver’s ability to follow a health care provider’s recommendation or understand medical treatment plans (Houlihan et al., 2026). Low health literacy can affect how caregivers adhere to the information they are taught. One strategy to overcome this strategy is to assess caregivers. By assessing caregivers, their level of health literacy can be determined to identify which education strategy best suits them. This leads to an education plan tailored to their needs that answers all their questions. Once caregivers feel all their questions have been answered, there’s a higher chance they understand the importance of following the education and patient care plan. With the data collected, continuous assessments can be conducted to gather data. With this data, strategies can be developed to overcome barriers and assess whether they remain effective. If there is a change in following the education implemented, new education methods will ensure the information is retained and used.</w:t>
      </w:r>
    </w:p>
    <w:p w:rsidR="00390E77" w:rsidRPr="00390E77" w:rsidRDefault="00390E77" w:rsidP="00390E77">
      <w:pPr>
        <w:pStyle w:val="NormalWeb"/>
        <w:shd w:val="clear" w:color="auto" w:fill="FFFFFF"/>
        <w:spacing w:before="0" w:beforeAutospacing="0" w:after="0" w:afterAutospacing="0" w:line="276" w:lineRule="auto"/>
        <w:rPr>
          <w:rFonts w:ascii="Aptos" w:hAnsi="Aptos"/>
          <w:b/>
          <w:bCs/>
          <w:color w:val="212121"/>
          <w:spacing w:val="2"/>
        </w:rPr>
      </w:pPr>
      <w:r w:rsidRPr="00390E77">
        <w:rPr>
          <w:b/>
          <w:bCs/>
          <w:color w:val="212121"/>
          <w:spacing w:val="2"/>
          <w:bdr w:val="none" w:sz="0" w:space="0" w:color="auto" w:frame="1"/>
        </w:rPr>
        <w:t>References:</w:t>
      </w:r>
    </w:p>
    <w:p w:rsidR="00390E77" w:rsidRDefault="00390E77" w:rsidP="00390E77">
      <w:pPr>
        <w:pStyle w:val="NormalWeb"/>
        <w:shd w:val="clear" w:color="auto" w:fill="FFFFFF"/>
        <w:spacing w:before="0" w:beforeAutospacing="0" w:after="0" w:afterAutospacing="0" w:line="276" w:lineRule="auto"/>
        <w:ind w:left="720" w:hanging="720"/>
        <w:rPr>
          <w:rFonts w:ascii="Aptos" w:hAnsi="Aptos"/>
          <w:color w:val="212121"/>
          <w:spacing w:val="2"/>
        </w:rPr>
      </w:pPr>
      <w:r>
        <w:rPr>
          <w:color w:val="212121"/>
          <w:spacing w:val="2"/>
          <w:bdr w:val="none" w:sz="0" w:space="0" w:color="auto" w:frame="1"/>
        </w:rPr>
        <w:t xml:space="preserve">Houlihan, M. C., </w:t>
      </w:r>
      <w:proofErr w:type="spellStart"/>
      <w:r>
        <w:rPr>
          <w:color w:val="212121"/>
          <w:spacing w:val="2"/>
          <w:bdr w:val="none" w:sz="0" w:space="0" w:color="auto" w:frame="1"/>
        </w:rPr>
        <w:t>Mayahara</w:t>
      </w:r>
      <w:proofErr w:type="spellEnd"/>
      <w:r>
        <w:rPr>
          <w:color w:val="212121"/>
          <w:spacing w:val="2"/>
          <w:bdr w:val="none" w:sz="0" w:space="0" w:color="auto" w:frame="1"/>
        </w:rPr>
        <w:t>, M., Swanson, B., Bishop-Royse, J., Lee, Y.-M., &amp; Ailey, S. (2025). The Role of Informal Caregiver Knowledge and Health Literacy in Home Hospice Pain Management. </w:t>
      </w:r>
      <w:r>
        <w:rPr>
          <w:rStyle w:val="Emphasis"/>
          <w:rFonts w:ascii="inherit" w:hAnsi="inherit"/>
          <w:color w:val="212121"/>
          <w:spacing w:val="2"/>
          <w:bdr w:val="none" w:sz="0" w:space="0" w:color="auto" w:frame="1"/>
        </w:rPr>
        <w:t>Home Healthcare Now</w:t>
      </w:r>
      <w:r>
        <w:rPr>
          <w:color w:val="212121"/>
          <w:spacing w:val="2"/>
          <w:bdr w:val="none" w:sz="0" w:space="0" w:color="auto" w:frame="1"/>
        </w:rPr>
        <w:t>, </w:t>
      </w:r>
      <w:r>
        <w:rPr>
          <w:rStyle w:val="Emphasis"/>
          <w:rFonts w:ascii="inherit" w:hAnsi="inherit"/>
          <w:color w:val="212121"/>
          <w:spacing w:val="2"/>
          <w:bdr w:val="none" w:sz="0" w:space="0" w:color="auto" w:frame="1"/>
        </w:rPr>
        <w:t>43</w:t>
      </w:r>
      <w:r>
        <w:rPr>
          <w:color w:val="212121"/>
          <w:spacing w:val="2"/>
          <w:bdr w:val="none" w:sz="0" w:space="0" w:color="auto" w:frame="1"/>
        </w:rPr>
        <w:t>(4), 239–248. </w:t>
      </w:r>
      <w:hyperlink r:id="rId6" w:tgtFrame="_blank" w:history="1">
        <w:r>
          <w:rPr>
            <w:rStyle w:val="Hyperlink"/>
            <w:color w:val="1A65B0"/>
            <w:spacing w:val="2"/>
            <w:bdr w:val="none" w:sz="0" w:space="0" w:color="auto" w:frame="1"/>
          </w:rPr>
          <w:t>https://doi-org.lopes.idm.oclc.org/10.1097/NHH.0000000000001364</w:t>
        </w:r>
      </w:hyperlink>
    </w:p>
    <w:p w:rsidR="00390E77" w:rsidRDefault="00390E77" w:rsidP="00390E77">
      <w:pPr>
        <w:pStyle w:val="NormalWeb"/>
        <w:shd w:val="clear" w:color="auto" w:fill="FFFFFF"/>
        <w:spacing w:before="0" w:beforeAutospacing="0" w:after="0" w:afterAutospacing="0" w:line="276" w:lineRule="auto"/>
        <w:ind w:left="720" w:hanging="720"/>
        <w:rPr>
          <w:rFonts w:ascii="Aptos" w:hAnsi="Aptos"/>
          <w:color w:val="212121"/>
          <w:spacing w:val="2"/>
        </w:rPr>
      </w:pPr>
      <w:r>
        <w:rPr>
          <w:color w:val="212121"/>
          <w:spacing w:val="2"/>
          <w:bdr w:val="none" w:sz="0" w:space="0" w:color="auto" w:frame="1"/>
        </w:rPr>
        <w:t>Liu, L., Peng, T., Wei, J., Ding, S., &amp; Zhang, S. (2026). Influence factors of guideline adherence based on the Cognitive Load Theory among clinical nurses: A cross-sectional study. </w:t>
      </w:r>
      <w:r>
        <w:rPr>
          <w:rStyle w:val="Emphasis"/>
          <w:rFonts w:ascii="inherit" w:hAnsi="inherit"/>
          <w:color w:val="212121"/>
          <w:spacing w:val="2"/>
          <w:bdr w:val="none" w:sz="0" w:space="0" w:color="auto" w:frame="1"/>
        </w:rPr>
        <w:t>International Journal of Nursing Sciences</w:t>
      </w:r>
      <w:r>
        <w:rPr>
          <w:color w:val="212121"/>
          <w:spacing w:val="2"/>
          <w:bdr w:val="none" w:sz="0" w:space="0" w:color="auto" w:frame="1"/>
        </w:rPr>
        <w:t>, </w:t>
      </w:r>
      <w:r>
        <w:rPr>
          <w:rStyle w:val="Emphasis"/>
          <w:rFonts w:ascii="inherit" w:hAnsi="inherit"/>
          <w:color w:val="212121"/>
          <w:spacing w:val="2"/>
          <w:bdr w:val="none" w:sz="0" w:space="0" w:color="auto" w:frame="1"/>
        </w:rPr>
        <w:t>13</w:t>
      </w:r>
      <w:r>
        <w:rPr>
          <w:color w:val="212121"/>
          <w:spacing w:val="2"/>
          <w:bdr w:val="none" w:sz="0" w:space="0" w:color="auto" w:frame="1"/>
        </w:rPr>
        <w:t>(3), 282–289. </w:t>
      </w:r>
      <w:hyperlink r:id="rId7" w:tgtFrame="_blank" w:history="1">
        <w:r>
          <w:rPr>
            <w:rStyle w:val="Hyperlink"/>
            <w:color w:val="1A65B0"/>
            <w:spacing w:val="2"/>
            <w:bdr w:val="none" w:sz="0" w:space="0" w:color="auto" w:frame="1"/>
          </w:rPr>
          <w:t>https://doi-org.lopes.idm.oclc.org/10.1016/j.ijnss.2026.04.001</w:t>
        </w:r>
      </w:hyperlink>
    </w:p>
    <w:p w:rsidR="00390E77" w:rsidRDefault="004A2FB9" w:rsidP="00390E77">
      <w:pPr>
        <w:pStyle w:val="NormalWeb"/>
        <w:shd w:val="clear" w:color="auto" w:fill="FFFFFF"/>
        <w:spacing w:before="0" w:beforeAutospacing="0" w:after="0" w:afterAutospacing="0" w:line="276" w:lineRule="auto"/>
        <w:ind w:left="720" w:hanging="720"/>
        <w:rPr>
          <w:rFonts w:ascii="Open Sans" w:hAnsi="Open Sans" w:cs="Open Sans"/>
          <w:color w:val="212121"/>
          <w:spacing w:val="2"/>
          <w:sz w:val="21"/>
          <w:szCs w:val="21"/>
        </w:rPr>
      </w:pPr>
      <w:r>
        <w:rPr>
          <w:rFonts w:ascii="Open Sans" w:hAnsi="Open Sans" w:cs="Open Sans"/>
          <w:color w:val="212121"/>
          <w:spacing w:val="2"/>
          <w:sz w:val="21"/>
          <w:szCs w:val="21"/>
        </w:rPr>
        <w:tab/>
      </w:r>
    </w:p>
    <w:p w:rsidR="004A2FB9" w:rsidRPr="00390E77" w:rsidRDefault="00390E77" w:rsidP="00390E77">
      <w:pPr>
        <w:pStyle w:val="NormalWeb"/>
        <w:shd w:val="clear" w:color="auto" w:fill="FFFFFF"/>
        <w:spacing w:before="0" w:beforeAutospacing="0" w:after="0" w:afterAutospacing="0" w:line="276" w:lineRule="auto"/>
        <w:ind w:left="720" w:hanging="720"/>
        <w:rPr>
          <w:rFonts w:ascii="Open Sans" w:hAnsi="Open Sans" w:cs="Open Sans"/>
          <w:color w:val="212121"/>
          <w:spacing w:val="2"/>
        </w:rPr>
      </w:pPr>
      <w:r w:rsidRPr="00390E77">
        <w:rPr>
          <w:rFonts w:ascii="Open Sans" w:hAnsi="Open Sans" w:cs="Open Sans"/>
          <w:b/>
          <w:bCs/>
          <w:color w:val="212121"/>
          <w:spacing w:val="2"/>
        </w:rPr>
        <w:lastRenderedPageBreak/>
        <w:t>Alexander</w:t>
      </w:r>
      <w:r w:rsidR="004A2FB9" w:rsidRPr="00390E77">
        <w:rPr>
          <w:rFonts w:ascii="Open Sans" w:hAnsi="Open Sans" w:cs="Open Sans"/>
          <w:b/>
          <w:bCs/>
          <w:color w:val="212121"/>
          <w:spacing w:val="2"/>
        </w:rPr>
        <w:t>’s Discussion</w:t>
      </w:r>
    </w:p>
    <w:p w:rsidR="00390E77" w:rsidRDefault="00390E77" w:rsidP="00390E77">
      <w:pPr>
        <w:pStyle w:val="NormalWeb"/>
        <w:shd w:val="clear" w:color="auto" w:fill="FFFFFF"/>
        <w:spacing w:line="360" w:lineRule="atLeast"/>
        <w:rPr>
          <w:rFonts w:ascii="Open Sans" w:hAnsi="Open Sans" w:cs="Open Sans"/>
          <w:color w:val="212121"/>
          <w:spacing w:val="2"/>
          <w:sz w:val="21"/>
          <w:szCs w:val="21"/>
        </w:rPr>
      </w:pPr>
      <w:r>
        <w:rPr>
          <w:rFonts w:ascii="Open Sans" w:hAnsi="Open Sans" w:cs="Open Sans"/>
          <w:color w:val="212121"/>
          <w:spacing w:val="2"/>
          <w:sz w:val="21"/>
          <w:szCs w:val="21"/>
        </w:rPr>
        <w:t>Two potential barriers that could prevent my evidence-based change proposal from maintaining the same results 6 months to a year after implementation are staff resistance and inconsistent use of the standardized handoff tool. My capstone project focuses on improving ER-to-ICU handoff communication through a standardized SBAR-based checklist. Over time, nurses may return to previous habits, especially during busy shifts or periods of high patient volume. Resistance to change can negatively affect the long-term success of evidence-based practice initiatives when staff do not see the value of the new process or feel that it adds to their workload (Melnyk &amp; Fineout-Overholt, 2023). To address this, ongoing education, staff feedback, and reinforcement from nursing leadership would be important.</w:t>
      </w:r>
    </w:p>
    <w:p w:rsidR="00390E77" w:rsidRDefault="00390E77" w:rsidP="00390E77">
      <w:pPr>
        <w:pStyle w:val="NormalWeb"/>
        <w:shd w:val="clear" w:color="auto" w:fill="FFFFFF"/>
        <w:spacing w:line="360" w:lineRule="atLeast"/>
        <w:rPr>
          <w:rFonts w:ascii="Open Sans" w:hAnsi="Open Sans" w:cs="Open Sans"/>
          <w:color w:val="212121"/>
          <w:spacing w:val="2"/>
          <w:sz w:val="21"/>
          <w:szCs w:val="21"/>
        </w:rPr>
      </w:pPr>
      <w:r>
        <w:rPr>
          <w:rFonts w:ascii="Open Sans" w:hAnsi="Open Sans" w:cs="Open Sans"/>
          <w:color w:val="212121"/>
          <w:spacing w:val="2"/>
          <w:sz w:val="21"/>
          <w:szCs w:val="21"/>
        </w:rPr>
        <w:t>A second barrier is lack of continued monitoring and accountability. If the organization stops evaluating handoff quality after the initial implementation period, incomplete communication may gradually become common again. One strategy would be to perform periodic audits of ER-to-ICU handoffs and provide feedback to staff regarding compliance and patient outcomes. Embedding the checklist into the normal workflow and making it part of unit expectations can also support sustainability. Evidence-based changes are more likely to continue when they are supported by leadership, incorporated into organizational processes, and regularly evaluated for effectiveness (Dang et al., 2022). Maintaining these strategies can help ensure that improved communication and patient safety continue long after the initial project ends.</w:t>
      </w:r>
    </w:p>
    <w:p w:rsidR="00390E77" w:rsidRDefault="00390E77" w:rsidP="00390E77">
      <w:pPr>
        <w:pStyle w:val="Heading3"/>
        <w:shd w:val="clear" w:color="auto" w:fill="FFFFFF"/>
        <w:spacing w:line="360" w:lineRule="atLeast"/>
        <w:rPr>
          <w:rFonts w:ascii="Open Sans" w:hAnsi="Open Sans" w:cs="Open Sans"/>
          <w:color w:val="212121"/>
          <w:spacing w:val="2"/>
        </w:rPr>
      </w:pPr>
      <w:r>
        <w:rPr>
          <w:rFonts w:ascii="Open Sans" w:hAnsi="Open Sans" w:cs="Open Sans"/>
          <w:color w:val="212121"/>
          <w:spacing w:val="2"/>
        </w:rPr>
        <w:t>References</w:t>
      </w:r>
    </w:p>
    <w:p w:rsidR="00390E77" w:rsidRDefault="00390E77" w:rsidP="00390E77">
      <w:pPr>
        <w:pStyle w:val="NormalWeb"/>
        <w:shd w:val="clear" w:color="auto" w:fill="FFFFFF"/>
        <w:spacing w:before="0" w:after="0" w:line="360" w:lineRule="atLeast"/>
        <w:rPr>
          <w:rFonts w:ascii="Open Sans" w:hAnsi="Open Sans" w:cs="Open Sans"/>
          <w:color w:val="212121"/>
          <w:spacing w:val="2"/>
          <w:sz w:val="21"/>
          <w:szCs w:val="21"/>
        </w:rPr>
      </w:pPr>
      <w:r>
        <w:rPr>
          <w:rFonts w:ascii="Open Sans" w:hAnsi="Open Sans" w:cs="Open Sans"/>
          <w:color w:val="212121"/>
          <w:spacing w:val="2"/>
          <w:sz w:val="21"/>
          <w:szCs w:val="21"/>
        </w:rPr>
        <w:t xml:space="preserve">Dang, D., </w:t>
      </w:r>
      <w:proofErr w:type="spellStart"/>
      <w:r>
        <w:rPr>
          <w:rFonts w:ascii="Open Sans" w:hAnsi="Open Sans" w:cs="Open Sans"/>
          <w:color w:val="212121"/>
          <w:spacing w:val="2"/>
          <w:sz w:val="21"/>
          <w:szCs w:val="21"/>
        </w:rPr>
        <w:t>Dearholt</w:t>
      </w:r>
      <w:proofErr w:type="spellEnd"/>
      <w:r>
        <w:rPr>
          <w:rFonts w:ascii="Open Sans" w:hAnsi="Open Sans" w:cs="Open Sans"/>
          <w:color w:val="212121"/>
          <w:spacing w:val="2"/>
          <w:sz w:val="21"/>
          <w:szCs w:val="21"/>
        </w:rPr>
        <w:t xml:space="preserve">, S. L., Bissett, K., </w:t>
      </w:r>
      <w:proofErr w:type="spellStart"/>
      <w:r>
        <w:rPr>
          <w:rFonts w:ascii="Open Sans" w:hAnsi="Open Sans" w:cs="Open Sans"/>
          <w:color w:val="212121"/>
          <w:spacing w:val="2"/>
          <w:sz w:val="21"/>
          <w:szCs w:val="21"/>
        </w:rPr>
        <w:t>Ascenzi</w:t>
      </w:r>
      <w:proofErr w:type="spellEnd"/>
      <w:r>
        <w:rPr>
          <w:rFonts w:ascii="Open Sans" w:hAnsi="Open Sans" w:cs="Open Sans"/>
          <w:color w:val="212121"/>
          <w:spacing w:val="2"/>
          <w:sz w:val="21"/>
          <w:szCs w:val="21"/>
        </w:rPr>
        <w:t>, J., &amp; Whalen, M. (2022). </w:t>
      </w:r>
      <w:r>
        <w:rPr>
          <w:rStyle w:val="Emphasis"/>
          <w:rFonts w:ascii="inherit" w:hAnsi="inherit" w:cs="Open Sans"/>
          <w:color w:val="212121"/>
          <w:spacing w:val="2"/>
          <w:sz w:val="21"/>
          <w:szCs w:val="21"/>
          <w:bdr w:val="none" w:sz="0" w:space="0" w:color="auto" w:frame="1"/>
        </w:rPr>
        <w:t>Johns Hopkins evidence-based practice for nurses and healthcare professionals: Model and guidelines</w:t>
      </w:r>
      <w:r>
        <w:rPr>
          <w:rFonts w:ascii="Open Sans" w:hAnsi="Open Sans" w:cs="Open Sans"/>
          <w:color w:val="212121"/>
          <w:spacing w:val="2"/>
          <w:sz w:val="21"/>
          <w:szCs w:val="21"/>
        </w:rPr>
        <w:t> (4th ed.). Sigma Theta Tau International.</w:t>
      </w:r>
    </w:p>
    <w:p w:rsidR="00390E77" w:rsidRDefault="00390E77" w:rsidP="00390E77">
      <w:pPr>
        <w:pStyle w:val="NormalWeb"/>
        <w:shd w:val="clear" w:color="auto" w:fill="FFFFFF"/>
        <w:spacing w:before="0" w:after="0" w:line="360" w:lineRule="atLeast"/>
        <w:rPr>
          <w:rFonts w:ascii="Open Sans" w:hAnsi="Open Sans" w:cs="Open Sans"/>
          <w:color w:val="212121"/>
          <w:spacing w:val="2"/>
          <w:sz w:val="21"/>
          <w:szCs w:val="21"/>
        </w:rPr>
      </w:pPr>
      <w:r>
        <w:rPr>
          <w:rFonts w:ascii="Open Sans" w:hAnsi="Open Sans" w:cs="Open Sans"/>
          <w:color w:val="212121"/>
          <w:spacing w:val="2"/>
          <w:sz w:val="21"/>
          <w:szCs w:val="21"/>
        </w:rPr>
        <w:t>Melnyk, B. M., &amp; Fineout-Overholt, E. (2023). </w:t>
      </w:r>
      <w:r>
        <w:rPr>
          <w:rStyle w:val="Emphasis"/>
          <w:rFonts w:ascii="inherit" w:hAnsi="inherit" w:cs="Open Sans"/>
          <w:color w:val="212121"/>
          <w:spacing w:val="2"/>
          <w:sz w:val="21"/>
          <w:szCs w:val="21"/>
          <w:bdr w:val="none" w:sz="0" w:space="0" w:color="auto" w:frame="1"/>
        </w:rPr>
        <w:t>Evidence-based practice in nursing &amp; healthcare: A guide to best practice</w:t>
      </w:r>
      <w:r>
        <w:rPr>
          <w:rFonts w:ascii="Open Sans" w:hAnsi="Open Sans" w:cs="Open Sans"/>
          <w:color w:val="212121"/>
          <w:spacing w:val="2"/>
          <w:sz w:val="21"/>
          <w:szCs w:val="21"/>
        </w:rPr>
        <w:t> (5th ed.). Wolters Kluwer.</w:t>
      </w:r>
    </w:p>
    <w:p w:rsidR="004A2FB9" w:rsidRPr="004A2FB9" w:rsidRDefault="004A2FB9" w:rsidP="00390E77">
      <w:pPr>
        <w:pStyle w:val="NormalWeb"/>
        <w:shd w:val="clear" w:color="auto" w:fill="FFFFFF"/>
        <w:spacing w:before="0" w:beforeAutospacing="0" w:after="0" w:afterAutospacing="0" w:line="360" w:lineRule="auto"/>
        <w:rPr>
          <w:rFonts w:ascii="inherit" w:hAnsi="inherit" w:cs="Open Sans"/>
          <w:color w:val="212121"/>
          <w:spacing w:val="2"/>
          <w:sz w:val="21"/>
          <w:szCs w:val="21"/>
        </w:rPr>
      </w:pPr>
    </w:p>
    <w:sectPr w:rsidR="004A2FB9" w:rsidRPr="004A2F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0E90" w:rsidRDefault="006F0E90" w:rsidP="004A2FB9">
      <w:r>
        <w:separator/>
      </w:r>
    </w:p>
  </w:endnote>
  <w:endnote w:type="continuationSeparator" w:id="0">
    <w:p w:rsidR="006F0E90" w:rsidRDefault="006F0E90" w:rsidP="004A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0E90" w:rsidRDefault="006F0E90" w:rsidP="004A2FB9">
      <w:r>
        <w:separator/>
      </w:r>
    </w:p>
  </w:footnote>
  <w:footnote w:type="continuationSeparator" w:id="0">
    <w:p w:rsidR="006F0E90" w:rsidRDefault="006F0E90" w:rsidP="004A2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EC"/>
    <w:rsid w:val="00390E77"/>
    <w:rsid w:val="004A2FB9"/>
    <w:rsid w:val="004E60EC"/>
    <w:rsid w:val="006451FF"/>
    <w:rsid w:val="006F0E90"/>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DF9D3F"/>
  <w15:chartTrackingRefBased/>
  <w15:docId w15:val="{64D0DC0A-AE39-5149-9713-71DD4502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A2FB9"/>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60E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A2FB9"/>
    <w:rPr>
      <w:b/>
      <w:bCs/>
    </w:rPr>
  </w:style>
  <w:style w:type="character" w:styleId="Emphasis">
    <w:name w:val="Emphasis"/>
    <w:basedOn w:val="DefaultParagraphFont"/>
    <w:uiPriority w:val="20"/>
    <w:qFormat/>
    <w:rsid w:val="004A2FB9"/>
    <w:rPr>
      <w:i/>
      <w:iCs/>
    </w:rPr>
  </w:style>
  <w:style w:type="character" w:styleId="Hyperlink">
    <w:name w:val="Hyperlink"/>
    <w:basedOn w:val="DefaultParagraphFont"/>
    <w:uiPriority w:val="99"/>
    <w:semiHidden/>
    <w:unhideWhenUsed/>
    <w:rsid w:val="004A2FB9"/>
    <w:rPr>
      <w:color w:val="0000FF"/>
      <w:u w:val="single"/>
    </w:rPr>
  </w:style>
  <w:style w:type="character" w:customStyle="1" w:styleId="Heading3Char">
    <w:name w:val="Heading 3 Char"/>
    <w:basedOn w:val="DefaultParagraphFont"/>
    <w:link w:val="Heading3"/>
    <w:uiPriority w:val="9"/>
    <w:rsid w:val="004A2FB9"/>
    <w:rPr>
      <w:rFonts w:ascii="Times New Roman" w:eastAsia="Times New Roman" w:hAnsi="Times New Roman" w:cs="Times New Roman"/>
      <w:b/>
      <w:bCs/>
      <w:kern w:val="0"/>
      <w:sz w:val="27"/>
      <w:szCs w:val="27"/>
      <w14:ligatures w14:val="none"/>
    </w:rPr>
  </w:style>
  <w:style w:type="character" w:styleId="HTMLCode">
    <w:name w:val="HTML Code"/>
    <w:basedOn w:val="DefaultParagraphFont"/>
    <w:uiPriority w:val="99"/>
    <w:semiHidden/>
    <w:unhideWhenUsed/>
    <w:rsid w:val="004A2FB9"/>
    <w:rPr>
      <w:rFonts w:ascii="Courier New" w:eastAsia="Times New Roman" w:hAnsi="Courier New" w:cs="Courier New"/>
      <w:sz w:val="20"/>
      <w:szCs w:val="20"/>
    </w:rPr>
  </w:style>
  <w:style w:type="paragraph" w:styleId="Header">
    <w:name w:val="header"/>
    <w:basedOn w:val="Normal"/>
    <w:link w:val="HeaderChar"/>
    <w:uiPriority w:val="99"/>
    <w:unhideWhenUsed/>
    <w:rsid w:val="004A2FB9"/>
    <w:pPr>
      <w:tabs>
        <w:tab w:val="center" w:pos="4680"/>
        <w:tab w:val="right" w:pos="9360"/>
      </w:tabs>
    </w:pPr>
  </w:style>
  <w:style w:type="character" w:customStyle="1" w:styleId="HeaderChar">
    <w:name w:val="Header Char"/>
    <w:basedOn w:val="DefaultParagraphFont"/>
    <w:link w:val="Header"/>
    <w:uiPriority w:val="99"/>
    <w:rsid w:val="004A2FB9"/>
  </w:style>
  <w:style w:type="paragraph" w:styleId="Footer">
    <w:name w:val="footer"/>
    <w:basedOn w:val="Normal"/>
    <w:link w:val="FooterChar"/>
    <w:uiPriority w:val="99"/>
    <w:unhideWhenUsed/>
    <w:rsid w:val="004A2FB9"/>
    <w:pPr>
      <w:tabs>
        <w:tab w:val="center" w:pos="4680"/>
        <w:tab w:val="right" w:pos="9360"/>
      </w:tabs>
    </w:pPr>
  </w:style>
  <w:style w:type="character" w:customStyle="1" w:styleId="FooterChar">
    <w:name w:val="Footer Char"/>
    <w:basedOn w:val="DefaultParagraphFont"/>
    <w:link w:val="Footer"/>
    <w:uiPriority w:val="99"/>
    <w:rsid w:val="004A2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724265">
      <w:bodyDiv w:val="1"/>
      <w:marLeft w:val="0"/>
      <w:marRight w:val="0"/>
      <w:marTop w:val="0"/>
      <w:marBottom w:val="0"/>
      <w:divBdr>
        <w:top w:val="none" w:sz="0" w:space="0" w:color="auto"/>
        <w:left w:val="none" w:sz="0" w:space="0" w:color="auto"/>
        <w:bottom w:val="none" w:sz="0" w:space="0" w:color="auto"/>
        <w:right w:val="none" w:sz="0" w:space="0" w:color="auto"/>
      </w:divBdr>
    </w:div>
    <w:div w:id="1455102529">
      <w:bodyDiv w:val="1"/>
      <w:marLeft w:val="0"/>
      <w:marRight w:val="0"/>
      <w:marTop w:val="0"/>
      <w:marBottom w:val="0"/>
      <w:divBdr>
        <w:top w:val="none" w:sz="0" w:space="0" w:color="auto"/>
        <w:left w:val="none" w:sz="0" w:space="0" w:color="auto"/>
        <w:bottom w:val="none" w:sz="0" w:space="0" w:color="auto"/>
        <w:right w:val="none" w:sz="0" w:space="0" w:color="auto"/>
      </w:divBdr>
    </w:div>
    <w:div w:id="1470048012">
      <w:bodyDiv w:val="1"/>
      <w:marLeft w:val="0"/>
      <w:marRight w:val="0"/>
      <w:marTop w:val="0"/>
      <w:marBottom w:val="0"/>
      <w:divBdr>
        <w:top w:val="none" w:sz="0" w:space="0" w:color="auto"/>
        <w:left w:val="none" w:sz="0" w:space="0" w:color="auto"/>
        <w:bottom w:val="none" w:sz="0" w:space="0" w:color="auto"/>
        <w:right w:val="none" w:sz="0" w:space="0" w:color="auto"/>
      </w:divBdr>
    </w:div>
    <w:div w:id="1590234749">
      <w:bodyDiv w:val="1"/>
      <w:marLeft w:val="0"/>
      <w:marRight w:val="0"/>
      <w:marTop w:val="0"/>
      <w:marBottom w:val="0"/>
      <w:divBdr>
        <w:top w:val="none" w:sz="0" w:space="0" w:color="auto"/>
        <w:left w:val="none" w:sz="0" w:space="0" w:color="auto"/>
        <w:bottom w:val="none" w:sz="0" w:space="0" w:color="auto"/>
        <w:right w:val="none" w:sz="0" w:space="0" w:color="auto"/>
      </w:divBdr>
      <w:divsChild>
        <w:div w:id="325330562">
          <w:marLeft w:val="0"/>
          <w:marRight w:val="0"/>
          <w:marTop w:val="0"/>
          <w:marBottom w:val="0"/>
          <w:divBdr>
            <w:top w:val="none" w:sz="0" w:space="0" w:color="auto"/>
            <w:left w:val="none" w:sz="0" w:space="0" w:color="auto"/>
            <w:bottom w:val="none" w:sz="0" w:space="0" w:color="auto"/>
            <w:right w:val="none" w:sz="0" w:space="0" w:color="auto"/>
          </w:divBdr>
          <w:divsChild>
            <w:div w:id="16350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lopes.idm.oclc.org/10.1016/j.ijnss.2026.04.0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lopes.idm.oclc.org/10.1097/NHH.000000000000136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2026-08-13T05:27:00Z</dcterms:created>
  <dcterms:modified xsi:type="dcterms:W3CDTF">2026-08-14T14:45:00Z</dcterms:modified>
</cp:coreProperties>
</file>